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B2" w:rsidRDefault="004028B2"/>
    <w:p w:rsidR="001F6FFC" w:rsidRDefault="001F6FFC"/>
    <w:p w:rsidR="001F6FFC" w:rsidRDefault="001F6FFC"/>
    <w:tbl>
      <w:tblPr>
        <w:tblpPr w:leftFromText="45" w:rightFromText="45" w:vertAnchor="text" w:tblpXSpec="right" w:tblpYSpec="center"/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1037"/>
        <w:gridCol w:w="259"/>
        <w:gridCol w:w="7344"/>
      </w:tblGrid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Papyrus" w:eastAsia="Times New Roman" w:hAnsi="Papyrus" w:cs="Arabic Transparent" w:hint="cs"/>
                <w:b/>
                <w:bCs/>
                <w:sz w:val="44"/>
                <w:szCs w:val="44"/>
                <w:rtl/>
              </w:rPr>
              <w:lastRenderedPageBreak/>
              <w:t>الراقدون في المسيح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pBdr>
                <w:bottom w:val="single" w:sz="6" w:space="1" w:color="auto"/>
              </w:pBd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Papyrus" w:hint="cs"/>
                <w:b/>
                <w:bCs/>
                <w:sz w:val="24"/>
                <w:szCs w:val="24"/>
              </w:rPr>
              <w:t>By Victor A, Tawadrose, M.D.</w:t>
            </w:r>
            <w:r w:rsidRPr="001F6FFC">
              <w:rPr>
                <w:rFonts w:ascii="Times New Roman" w:eastAsia="Times New Roman" w:hAnsi="Times New Roman" w:cs="Papyrus" w:hint="cs"/>
                <w:b/>
                <w:bCs/>
                <w:sz w:val="44"/>
                <w:szCs w:val="44"/>
              </w:rPr>
              <w:t xml:space="preserve">     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7"/>
                <w:szCs w:val="27"/>
                <w:rtl/>
              </w:rPr>
              <w:t>رجاء المؤمنين ووجوب عدم حزنهم :-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   يو 14 : 2 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"في بيت أبي منازل كثيرة وإلاّ فإني كنت قد قلت لكم . أنا أمضي لأعدّ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لكم مكانا. وإن مضيت وأعددت لكم مكانا آتي أيضا وآخذكم إليّ . حتي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حيث أكون أنا تكونون أنتم أيضا. 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 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>2 كو 5 : 1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"لأننا نعلم أنه إن نُقض بيت خيمتنا الأرضي فلنا في السماوات بناء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من الله بيت غير مصنوع بيد ,"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1 تس 4 : 13 – 18 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"ثم لا أريد أن تجهلوا أيها الإخوة من جهة الراقدين لكي لا تحزنوا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كالباقين الذين لا رجاء لهم . لأنه إن كنا نؤمن أن يسوع مات وقام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فكذلك الراقدون بيسوع سيحضرهم الله أيضا معه . فإننا نقول لكم هذا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بكلمة الرب أننا نحن الأحياء الباقين إلي مجئ الرب لا نسبق الراقدين .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لأن الرب نفسه بهتاف بصوت رئيس ملاكة وبوق . الله سوف ينزل من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السماء والأموات في المسيح سيقوموت أولا . ثم نحن الأحياء الباقين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سنُخطف جميعا معهم في السحُب لملاقاة الرب في الهواء . وهكذا نكون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كل حين مع الرب . لذلك عزّوا بعضكم بعضا بهذا الكلام ."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7"/>
                <w:szCs w:val="27"/>
                <w:rtl/>
              </w:rPr>
              <w:t>السماوات الجديدة :-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أش 65 : 17 </w:t>
            </w:r>
          </w:p>
        </w:tc>
      </w:tr>
      <w:tr w:rsidR="001F6FFC" w:rsidRPr="001F6FFC" w:rsidTr="001F6FFC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4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لأني هأنذا خالق سماوات جديدة وأرضا جديدة فلا تُذكر الأولي ولا تخطر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علي بال."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 xml:space="preserve">  </w:t>
            </w:r>
            <w:r w:rsidRPr="001F6FFC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  <w:lang w:bidi="ar-EG"/>
              </w:rPr>
              <w:t>أ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ش  66 : 22 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keepNext/>
              <w:bidi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t>  " لأنه كما أن السماوات الجديدة والأرض الجديدة التي أنا صانع تثبت</w:t>
            </w:r>
            <w:r w:rsidRPr="001F6FFC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br/>
              <w:t>أمامي يقول الرب . هكذا يثبت نسلكم وإسمكم ."</w:t>
            </w:r>
            <w:r w:rsidRPr="001F6FFC">
              <w:rPr>
                <w:rFonts w:ascii="Times New Roman" w:eastAsia="Times New Roman" w:hAnsi="Times New Roman" w:cs="Arabic Transparent" w:hint="cs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1 كو 2 : 9 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بل كما هو مكتوب . ما لم تر عين ولم تسمع أذن ولم يخطر علي بال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إنسان ما أعدّه الله للذين يحبّونه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>2 بط 3 : 13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ولكننا بحسب وعده ننتظر سماوات جديده وأرضا جديدة يسكن فها البر ,"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   رؤ 21 : 1 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ثم رأيت سماء جديدة وأرضا جديدة لأن السماء الأولي والأرض الأولي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مضتا . والبحر لا يوجد فيما بعد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  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: 27 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ولا يدخلها شئ دنس ولا ما يصنع رجسا وكذبا . إلاّ المكتوبين في سفر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حياة الخروف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7"/>
                <w:szCs w:val="27"/>
                <w:rtl/>
              </w:rPr>
              <w:t>الإنتصار والغلبة علي الموت . حياة أبدية مع المسيح:-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رو 8 : 37 – 38 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ولكننا في هذه جميعها يعظم إنتصارنا بالذي أحبّنا . فإني متيقّن أنه لا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موت ولا حياة ولا ملائكة ولا رؤساء ولا قوّات ولا أمور حاضرة ولا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مستقبلة ولا علو ولا عمق ولا خليقة أخري تقدر أن تفصلنا عن محبة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الله التي في المسيح يسوع ربنا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>1كو 15 : 20 – 22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ولكن الآن قد قام المسيح من الأموات وصار باكورة الراقدين . فإنه إذ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الموت بإنسان . بإنسان أيضا قيامة الأموات . لأنه كما في آدم يموت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الجميع هكذا في المسيح سيحيا الجميع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 : 42 – 44 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هكذا أيضا قيامة الأموات . يُزرع في فساد ويُقام في عدم فساد . يُزرع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في هوان ويُقام في مجد . يُزرع في ضعف ويُقام في قوة . يُزرع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جسما حيوانيا ويُقام جسما روحيا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    : 45 – 47 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" هكذا مكتوب أيضا . صار آدم الإنسان الأول نفسا حية وآدم الأخير روحا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مُحييا . لكن ليس الروحاني أولا بل الحيواني وبعد ذلك الروحاني . الإنسان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الأول من الأرض ترابي . الإنسان الثاني الرب من السماء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rPr>
          <w:trHeight w:val="285"/>
        </w:trPr>
        <w:tc>
          <w:tcPr>
            <w:tcW w:w="7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tbl>
      <w:tblPr>
        <w:bidiVisual/>
        <w:tblW w:w="5000" w:type="pct"/>
        <w:tblCellMar>
          <w:left w:w="0" w:type="dxa"/>
          <w:right w:w="0" w:type="dxa"/>
        </w:tblCellMar>
        <w:tblLook w:val="04A0"/>
      </w:tblPr>
      <w:tblGrid>
        <w:gridCol w:w="691"/>
        <w:gridCol w:w="691"/>
        <w:gridCol w:w="7258"/>
      </w:tblGrid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: 49 – 50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 xml:space="preserve"> " وكما لبسنا صورة الترابي سنلبس أيضا صورة السماوي . فأقول هذا أيها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الإخوة أن لحما ودما لا يقدران أن يرثا ملكوت الله . ولا يرث الفساد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lastRenderedPageBreak/>
              <w:t>عـدم فساد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   :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 51 – 57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هوذا سر أقوله لكم . لا نرقد كلنا ولكن كلنا نتغير في لحظة في طرفة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عـين عـند البوق الأخير . فإنه سيُبوّق فيقام الأموات عديمي فساد ونحن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نتغيّر . لأن هذا الفاسد لا بُدّ أن يلبس عدم فساد . وهذا المائت يلبس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عدم موت . ومتي لبس هذا الفاسد عدم فساد ولبس هذا المائت عدم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موت فحينئذن تصير الكلمة المكتوبة أُبتُلع الموت إلي غلبة . أين شوكتك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يا موت . أن غلبتك يا هاوية . أمّا شوكة الموت فهي الخطية . وقوة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الخطية هي الناموس . ولكن شُكرا لله الذي يعطينا الغلبة بربّنا يسوع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المسيح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   2 تي 1 : 9 – 10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الذى خلّصنا ودعانا دعوة مقدّسة لا بمقتضي أعمالنا بل بمقتضي القصد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والنعمة التي أُعطيت لنا في المسيح يسوع قبل الأزمنة الأزلية. وإنما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أُظهرت الآن بظهور مخلّصنا يسوع المسيح الذى أبطل الموت وأنار الحياة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والخلود بواسطة الإنجيل ."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7"/>
                <w:szCs w:val="27"/>
                <w:rtl/>
              </w:rPr>
              <w:t xml:space="preserve">المؤمن لا يموت بل ينتقل من حياة الموت إلي الحياة الأبدية :-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   يو 5 : 24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الحق الحق أقول لكم أن من يسمع كلامي ويؤمن بالذى أرسلني فله حياة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 xml:space="preserve">أبدية ولا يأتي إلي دينونة بل إنتقل من الموت إلي الحياة ." 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   كو 1 : 3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الذي أنقذنا من سلطان الظلمة ونقلنا إلي ملكوت إبن محبته ."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عب 11 : 5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بالإيمان نُقل أخنوخ لكي لا يرى الموت ولم يوجد لأن الله نقله ."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  </w:t>
            </w:r>
            <w:r w:rsidRPr="001F6FFC">
              <w:rPr>
                <w:rFonts w:ascii="Times New Roman" w:eastAsia="Times New Roman" w:hAnsi="Times New Roman" w:cs="Arabic Transparent"/>
                <w:b/>
                <w:bCs/>
                <w:sz w:val="24"/>
                <w:szCs w:val="24"/>
                <w:rtl/>
              </w:rPr>
              <w:t xml:space="preserve">1 يو 3 : 14 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 " نحن نعلم أننا إنتقلنا من الموت إلي الحياة ."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يتكلم الوحي في العهد الجديد عن الموت أنه رقاد . وهذا وا ضح في 1 كو 15 :20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– 22 ، 51 – 57 &amp; 1 تس 4 : 13 – 18 في صفحات 1 ،2 .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يقول في 1 كو 15 : 20 – 22 " ولكن الآن قد قام المسيح من الأموات وصار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باكورة الراقدين ."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ونلاحظ هنا أنه لم يقل " باكورة المقامين من الأموات " كما يعتقد البعض أو الكل .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لأن السيد المسيح لم يكن أول المقامين ( وإن إختلفت قيامته عن قيامتهم ) . فالسيد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المسيح نفسه أقام ثلاثة من الأموات : إبنة يايرس ( مر 5 : 22 &amp; لو 8 :41 ) وإبن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أرملة نايين ( لو 7 : 11 ) وأليعازر أخا مرم ومرثا ( يو 11 : 1) . هذا مع أني أؤمن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أنه ربما أقام كثيرين آخرين إذ أن الوحي المقدس ذكر في يوحنا 20 : 30 " وآيات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أخر كثيرة صنع يسوع قدّام تلاميذه لم تكتب في هذا الكتاب ." إذن فالسيد المسيح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لم يكن باكورة المقامين من الأموات ، لكن الوحي يقول " باكورة الراقدين " وكأن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الوحي يقول أنه بعد مجئ يسوع المسيح بطُل الموت وأصبح رقادا وأ ول هؤلاء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الراقدين هو السيد المسيح .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 يتكلم الوحي عن الموت أنه إنتقال كما ورد في يو 5 : 24 ، كو 1 : 3 ، عب 11 :5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، 1يو 3 : 14 . أي أننا حين يحين الوقت لكي لا نُري إلي حين كما حدث لأخنوخ ،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يأخذنا الله إلي حضرته ( وهذا هو الموت بلغتنا الأرضية ) حيث نصير مرئيين لله ( لأننا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لم نمت ) ولكل القدسين الذين سبقونا هناك . كما أننا سنري كل من تركناهم عـندما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 xml:space="preserve">يحين الوقت لهم ويسلكوا نفس هذا الإنتقال الحي .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فإن كان الأمر كذلك فلنتسابق متطلّعين إلي هذا الحدث العظيم ـ رحلة الإنتقال الجميلة .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أمّا عن الإنتقال إلي حياة أبدية فهو أمر أكيد حدث فعلا عند إيماننا بيسوع المسيح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مخلّصنا الوحيد . لنسمع ما يقوله الوحي في يو 5 :24 " الحق الحق أقول لكم أن من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يسمع كلامي ويؤمن بالذى أرسلني فله حياة أبدية ولا يأتي إلي دينونة بل إنتقل من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الموت إلي الحياة ."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ونلاحظ هنا أن الشرط كُتب في الفعـل المضارع " من يسمع ويؤمن " ، أمّا جواب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الشرط فكُتب في الفعـل الماضي " إنتقل " أي أنه حدث قبلا وفعلا . وهذا هو الدليل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عـلي تأكيد حدوثه .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أمّا ما أعدّه الله لنا نحن المؤمنين فلا شك فيه ، فقد وعدنا ه في يو 14 : 2 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ثم نفّذه في 1 كو 2 : 9 ، 2 كو 5 : 1 . كما ذّكر آنفا فأرجو مراجعته .</w:t>
            </w: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br/>
              <w:t> </w:t>
            </w:r>
          </w:p>
        </w:tc>
      </w:tr>
      <w:tr w:rsidR="001F6FFC" w:rsidRPr="001F6FFC" w:rsidTr="001F6FFC"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t>هذه بعض خواطر شخصية وأنا أؤمن يا عزيزي القارئ أنه عند قراءة هذه الشواهد ستري فيها خواطر أخرى جديدة . فأرجو مشاركتها معي والآخرين ، إذ أن الكتاب ملئ بدُرر وجواهر جددا وعتقا تظهر لنا جديدة دائما كلما قرأنا كلامه الحي .</w:t>
            </w:r>
            <w:r w:rsidRPr="001F6FFC">
              <w:rPr>
                <w:rFonts w:ascii="Times New Roman" w:eastAsia="Times New Roman" w:hAnsi="Times New Roman" w:cs="Arabic Transparent"/>
                <w:sz w:val="24"/>
                <w:szCs w:val="24"/>
                <w:rtl/>
              </w:rPr>
              <w:br/>
              <w:t>والرب يحفظك ويباركك .</w:t>
            </w:r>
          </w:p>
        </w:tc>
      </w:tr>
      <w:tr w:rsidR="001F6FFC" w:rsidRPr="001F6FFC" w:rsidTr="001F6FFC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1F6FFC" w:rsidRPr="001F6FFC" w:rsidTr="001F6FFC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6FFC" w:rsidRPr="001F6FFC" w:rsidRDefault="001F6FFC" w:rsidP="001F6FFC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FFC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1F6FFC" w:rsidRDefault="001F6FFC"/>
    <w:sectPr w:rsidR="001F6FFC" w:rsidSect="004028B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6FFC"/>
    <w:rsid w:val="001F6FFC"/>
    <w:rsid w:val="00402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B2"/>
  </w:style>
  <w:style w:type="paragraph" w:styleId="Heading2">
    <w:name w:val="heading 2"/>
    <w:basedOn w:val="Normal"/>
    <w:link w:val="Heading2Char"/>
    <w:uiPriority w:val="9"/>
    <w:qFormat/>
    <w:rsid w:val="001F6FFC"/>
    <w:pPr>
      <w:keepNext/>
      <w:bidi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basedOn w:val="DefaultParagraphFont"/>
    <w:rsid w:val="001F6FFC"/>
  </w:style>
  <w:style w:type="paragraph" w:styleId="NormalWeb">
    <w:name w:val="Normal (Web)"/>
    <w:basedOn w:val="Normal"/>
    <w:uiPriority w:val="99"/>
    <w:unhideWhenUsed/>
    <w:rsid w:val="001F6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F6FF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922</Words>
  <Characters>5259</Characters>
  <Application>Microsoft Office Word</Application>
  <DocSecurity>0</DocSecurity>
  <Lines>43</Lines>
  <Paragraphs>12</Paragraphs>
  <ScaleCrop>false</ScaleCrop>
  <Company/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</cp:revision>
  <dcterms:created xsi:type="dcterms:W3CDTF">2010-03-08T06:33:00Z</dcterms:created>
  <dcterms:modified xsi:type="dcterms:W3CDTF">2010-03-08T06:40:00Z</dcterms:modified>
</cp:coreProperties>
</file>