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96" w:rsidRDefault="00410391" w:rsidP="00410391">
      <w:pPr>
        <w:jc w:val="center"/>
        <w:rPr>
          <w:b/>
          <w:bCs/>
          <w:sz w:val="72"/>
          <w:szCs w:val="72"/>
          <w:rtl/>
          <w:lang w:bidi="ar-EG"/>
        </w:rPr>
      </w:pPr>
      <w:r w:rsidRPr="00A4219D">
        <w:rPr>
          <w:rFonts w:hint="cs"/>
          <w:b/>
          <w:bCs/>
          <w:sz w:val="72"/>
          <w:szCs w:val="72"/>
          <w:rtl/>
          <w:lang w:bidi="ar-EG"/>
        </w:rPr>
        <w:t>تا بوت العهد</w:t>
      </w:r>
    </w:p>
    <w:p w:rsidR="00A4219D" w:rsidRDefault="00A4219D" w:rsidP="00410391">
      <w:pPr>
        <w:jc w:val="center"/>
        <w:rPr>
          <w:b/>
          <w:bCs/>
          <w:sz w:val="72"/>
          <w:szCs w:val="72"/>
          <w:rtl/>
          <w:lang w:bidi="ar-EG"/>
        </w:rPr>
      </w:pPr>
      <w:r>
        <w:rPr>
          <w:rFonts w:hint="cs"/>
          <w:b/>
          <w:bCs/>
          <w:sz w:val="72"/>
          <w:szCs w:val="72"/>
          <w:rtl/>
          <w:lang w:bidi="ar-EG"/>
        </w:rPr>
        <w:t>هل سيُعثر عليه؟</w:t>
      </w:r>
    </w:p>
    <w:p w:rsidR="00033460" w:rsidRDefault="00033460" w:rsidP="006533DF">
      <w:pPr>
        <w:rPr>
          <w:b/>
          <w:bCs/>
          <w:sz w:val="72"/>
          <w:szCs w:val="72"/>
          <w:lang w:bidi="ar-EG"/>
        </w:rPr>
      </w:pPr>
    </w:p>
    <w:p w:rsidR="00033460" w:rsidRDefault="00B10234" w:rsidP="00410391">
      <w:pPr>
        <w:jc w:val="center"/>
        <w:rPr>
          <w:b/>
          <w:bCs/>
          <w:sz w:val="72"/>
          <w:szCs w:val="72"/>
          <w:lang w:bidi="ar-EG"/>
        </w:rPr>
      </w:pPr>
      <w:r>
        <w:rPr>
          <w:noProof/>
        </w:rPr>
        <w:drawing>
          <wp:inline distT="0" distB="0" distL="0" distR="0">
            <wp:extent cx="2263140" cy="1798320"/>
            <wp:effectExtent l="0" t="0" r="0" b="0"/>
            <wp:docPr id="1" name="Picture 1" descr="C:\Documents and Settings\1\My Documents\New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My Documents\New 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460" w:rsidRDefault="00033460" w:rsidP="00410391">
      <w:pPr>
        <w:jc w:val="center"/>
        <w:rPr>
          <w:b/>
          <w:bCs/>
          <w:sz w:val="72"/>
          <w:szCs w:val="72"/>
          <w:lang w:bidi="ar-EG"/>
        </w:rPr>
      </w:pPr>
    </w:p>
    <w:p w:rsidR="00A4219D" w:rsidRDefault="00A4219D" w:rsidP="006533DF">
      <w:pPr>
        <w:rPr>
          <w:b/>
          <w:bCs/>
          <w:sz w:val="72"/>
          <w:szCs w:val="72"/>
          <w:rtl/>
          <w:lang w:bidi="ar-EG"/>
        </w:rPr>
      </w:pPr>
    </w:p>
    <w:p w:rsidR="00A4219D" w:rsidRDefault="00A4219D" w:rsidP="00410391">
      <w:pPr>
        <w:jc w:val="center"/>
        <w:rPr>
          <w:b/>
          <w:bCs/>
          <w:sz w:val="56"/>
          <w:szCs w:val="56"/>
          <w:rtl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>سلسلة دراسات كتابية</w:t>
      </w:r>
    </w:p>
    <w:p w:rsidR="00846DCA" w:rsidRDefault="00846DCA" w:rsidP="00410391">
      <w:pPr>
        <w:jc w:val="center"/>
        <w:rPr>
          <w:b/>
          <w:bCs/>
          <w:sz w:val="56"/>
          <w:szCs w:val="56"/>
          <w:rtl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>تحضير</w:t>
      </w:r>
    </w:p>
    <w:p w:rsidR="00A4219D" w:rsidRDefault="00A4219D" w:rsidP="00410391">
      <w:pPr>
        <w:jc w:val="center"/>
        <w:rPr>
          <w:b/>
          <w:bCs/>
          <w:sz w:val="56"/>
          <w:szCs w:val="56"/>
          <w:rtl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>فك</w:t>
      </w:r>
      <w:r w:rsidR="00B8262F">
        <w:rPr>
          <w:rFonts w:hint="cs"/>
          <w:b/>
          <w:bCs/>
          <w:sz w:val="56"/>
          <w:szCs w:val="56"/>
          <w:rtl/>
          <w:lang w:bidi="ar-EG"/>
        </w:rPr>
        <w:t>تور</w:t>
      </w:r>
      <w:r w:rsidR="00846DCA">
        <w:rPr>
          <w:rFonts w:hint="cs"/>
          <w:b/>
          <w:bCs/>
          <w:sz w:val="56"/>
          <w:szCs w:val="56"/>
          <w:rtl/>
          <w:lang w:bidi="ar-EG"/>
        </w:rPr>
        <w:t>أنيس</w:t>
      </w:r>
      <w:bookmarkStart w:id="0" w:name="_GoBack"/>
      <w:bookmarkEnd w:id="0"/>
      <w:r w:rsidR="00B8262F">
        <w:rPr>
          <w:rFonts w:hint="cs"/>
          <w:b/>
          <w:bCs/>
          <w:sz w:val="56"/>
          <w:szCs w:val="56"/>
          <w:rtl/>
          <w:lang w:bidi="ar-EG"/>
        </w:rPr>
        <w:t xml:space="preserve"> تاوضروس</w:t>
      </w:r>
    </w:p>
    <w:p w:rsidR="00B8262F" w:rsidRPr="00E8505D" w:rsidRDefault="00E8505D" w:rsidP="00410391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hAnsi="Arial" w:cs="Arial"/>
          <w:sz w:val="28"/>
          <w:szCs w:val="28"/>
          <w:lang w:bidi="ar-EG"/>
        </w:rPr>
        <w:t>www.oasisoflivingwater.com</w:t>
      </w:r>
    </w:p>
    <w:p w:rsidR="00B8262F" w:rsidRDefault="00B8262F" w:rsidP="00410391">
      <w:pPr>
        <w:jc w:val="center"/>
        <w:rPr>
          <w:b/>
          <w:bCs/>
          <w:sz w:val="56"/>
          <w:szCs w:val="56"/>
          <w:rtl/>
          <w:lang w:bidi="ar-EG"/>
        </w:rPr>
      </w:pPr>
    </w:p>
    <w:p w:rsidR="00B8262F" w:rsidRDefault="00B8262F" w:rsidP="006533DF">
      <w:pPr>
        <w:rPr>
          <w:b/>
          <w:bCs/>
          <w:sz w:val="56"/>
          <w:szCs w:val="56"/>
          <w:rtl/>
          <w:lang w:bidi="ar-EG"/>
        </w:rPr>
      </w:pPr>
    </w:p>
    <w:p w:rsidR="00B8262F" w:rsidRDefault="00B8262F" w:rsidP="00410391">
      <w:pPr>
        <w:jc w:val="center"/>
        <w:rPr>
          <w:b/>
          <w:bCs/>
          <w:sz w:val="56"/>
          <w:szCs w:val="56"/>
          <w:rtl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>تابوت العهد</w:t>
      </w:r>
    </w:p>
    <w:p w:rsidR="00B8262F" w:rsidRDefault="00B8262F" w:rsidP="00410391">
      <w:pPr>
        <w:jc w:val="center"/>
        <w:rPr>
          <w:b/>
          <w:bCs/>
          <w:sz w:val="56"/>
          <w:szCs w:val="56"/>
          <w:rtl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>هل سيُعثر عليه؟</w:t>
      </w:r>
    </w:p>
    <w:p w:rsidR="00B8262F" w:rsidRDefault="00B8262F" w:rsidP="00B8262F">
      <w:pPr>
        <w:jc w:val="right"/>
        <w:rPr>
          <w:b/>
          <w:bCs/>
          <w:sz w:val="36"/>
          <w:szCs w:val="36"/>
          <w:u w:val="single"/>
          <w:rtl/>
          <w:lang w:bidi="ar-EG"/>
        </w:rPr>
      </w:pPr>
      <w:r w:rsidRPr="00B8262F">
        <w:rPr>
          <w:rFonts w:hint="cs"/>
          <w:b/>
          <w:bCs/>
          <w:sz w:val="36"/>
          <w:szCs w:val="36"/>
          <w:u w:val="single"/>
          <w:rtl/>
          <w:lang w:bidi="ar-EG"/>
        </w:rPr>
        <w:t>خلفية تاريخية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</w:p>
    <w:p w:rsidR="0075330E" w:rsidRDefault="009B222F" w:rsidP="00B0553F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كلمة تابوت في اللغة العبرية هي "عارون" وهي كلمة عامة معناها صندوق.</w:t>
      </w:r>
      <w:r w:rsidR="0075330E">
        <w:rPr>
          <w:rFonts w:hint="cs"/>
          <w:sz w:val="28"/>
          <w:szCs w:val="28"/>
          <w:rtl/>
          <w:lang w:bidi="ar-EG"/>
        </w:rPr>
        <w:t xml:space="preserve">  وقد سُمّي هكذا في سفر العدد 10:33 وفي سفر التثنية 31:26 وفي رسالة العبرانيين 9:4 </w:t>
      </w:r>
      <w:r w:rsidR="001C7C88">
        <w:rPr>
          <w:rFonts w:hint="cs"/>
          <w:sz w:val="28"/>
          <w:szCs w:val="28"/>
          <w:rtl/>
          <w:lang w:bidi="ar-EG"/>
        </w:rPr>
        <w:t>، و قد سٌمّي كذالك لآنه في شكله يشبه صندوق إيداع حُف</w:t>
      </w:r>
      <w:r w:rsidR="00033460">
        <w:rPr>
          <w:rFonts w:hint="cs"/>
          <w:sz w:val="28"/>
          <w:szCs w:val="28"/>
          <w:rtl/>
          <w:lang w:bidi="ar-EG"/>
        </w:rPr>
        <w:t>ظت فيه لوحي الشريعة.  أمّا تسميته</w:t>
      </w:r>
      <w:r w:rsidR="00B0553F">
        <w:rPr>
          <w:rFonts w:hint="cs"/>
          <w:sz w:val="28"/>
          <w:szCs w:val="28"/>
          <w:rtl/>
          <w:lang w:bidi="ar-EG"/>
        </w:rPr>
        <w:t xml:space="preserve"> بتابوت الشهادة</w:t>
      </w:r>
      <w:r w:rsidR="00033460">
        <w:rPr>
          <w:rFonts w:hint="cs"/>
          <w:sz w:val="28"/>
          <w:szCs w:val="28"/>
          <w:rtl/>
          <w:lang w:bidi="ar-EG"/>
        </w:rPr>
        <w:t xml:space="preserve"> فقد ورد</w:t>
      </w:r>
      <w:r w:rsidR="00C34614">
        <w:rPr>
          <w:rFonts w:hint="cs"/>
          <w:sz w:val="28"/>
          <w:szCs w:val="28"/>
          <w:rtl/>
          <w:lang w:bidi="ar-EG"/>
        </w:rPr>
        <w:t>ت</w:t>
      </w:r>
      <w:r w:rsidR="00E83E3F">
        <w:rPr>
          <w:rFonts w:hint="cs"/>
          <w:sz w:val="28"/>
          <w:szCs w:val="28"/>
          <w:rtl/>
          <w:lang w:bidi="ar-EG"/>
        </w:rPr>
        <w:t xml:space="preserve"> في سفر الخروج25:</w:t>
      </w:r>
      <w:r w:rsidR="00B0553F">
        <w:rPr>
          <w:rFonts w:hint="cs"/>
          <w:sz w:val="28"/>
          <w:szCs w:val="28"/>
          <w:rtl/>
          <w:lang w:bidi="ar-EG"/>
        </w:rPr>
        <w:t xml:space="preserve">22 لآن وصايا الرب كانت تُسمّي شهادة الرب </w:t>
      </w:r>
      <w:r w:rsidR="00E83E3F">
        <w:rPr>
          <w:rFonts w:hint="cs"/>
          <w:sz w:val="28"/>
          <w:szCs w:val="28"/>
          <w:rtl/>
          <w:lang w:bidi="ar-EG"/>
        </w:rPr>
        <w:t xml:space="preserve"> </w:t>
      </w:r>
      <w:r w:rsidR="00B0553F">
        <w:rPr>
          <w:rFonts w:hint="cs"/>
          <w:sz w:val="28"/>
          <w:szCs w:val="28"/>
          <w:rtl/>
          <w:lang w:bidi="ar-EG"/>
        </w:rPr>
        <w:t>ل</w:t>
      </w:r>
      <w:r w:rsidR="00E83E3F">
        <w:rPr>
          <w:rFonts w:hint="cs"/>
          <w:sz w:val="28"/>
          <w:szCs w:val="28"/>
          <w:rtl/>
          <w:lang w:bidi="ar-EG"/>
        </w:rPr>
        <w:t>شعبه</w:t>
      </w:r>
      <w:r w:rsidR="000E712C">
        <w:rPr>
          <w:rFonts w:hint="cs"/>
          <w:sz w:val="28"/>
          <w:szCs w:val="28"/>
          <w:rtl/>
          <w:lang w:bidi="ar-EG"/>
        </w:rPr>
        <w:t>.  وأخيراً سُمّي بتابوت الرب في سفر صموئيل الآول 3:3 , 4:11 إذ آنه عرش الرب المقدّس بين شعبه</w:t>
      </w:r>
      <w:r w:rsidR="00771F61">
        <w:rPr>
          <w:rFonts w:hint="cs"/>
          <w:sz w:val="28"/>
          <w:szCs w:val="28"/>
          <w:rtl/>
          <w:lang w:bidi="ar-EG"/>
        </w:rPr>
        <w:t xml:space="preserve"> كما سنري بعد.</w:t>
      </w:r>
    </w:p>
    <w:p w:rsidR="00771F61" w:rsidRDefault="00771F61" w:rsidP="0075330E">
      <w:pPr>
        <w:jc w:val="right"/>
        <w:rPr>
          <w:b/>
          <w:bCs/>
          <w:sz w:val="36"/>
          <w:szCs w:val="36"/>
          <w:u w:val="single"/>
          <w:rtl/>
          <w:lang w:bidi="ar-EG"/>
        </w:rPr>
      </w:pPr>
      <w:r w:rsidRPr="00771F61">
        <w:rPr>
          <w:rFonts w:hint="cs"/>
          <w:b/>
          <w:bCs/>
          <w:sz w:val="36"/>
          <w:szCs w:val="36"/>
          <w:u w:val="single"/>
          <w:rtl/>
          <w:lang w:bidi="ar-EG"/>
        </w:rPr>
        <w:t>وصف التابوت:</w:t>
      </w:r>
    </w:p>
    <w:p w:rsidR="00771F61" w:rsidRDefault="00771F61" w:rsidP="0075330E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كان التابوت هو قطعة الآثاث الوحيدة الموجودة في الجزء الداخلي من الهيكل الذي كان يُدعي قدس الآقداس</w:t>
      </w:r>
      <w:r w:rsidR="00E708D0">
        <w:rPr>
          <w:rFonts w:hint="cs"/>
          <w:sz w:val="28"/>
          <w:szCs w:val="28"/>
          <w:rtl/>
          <w:lang w:bidi="ar-EG"/>
        </w:rPr>
        <w:t xml:space="preserve"> ذلك لآنه كان مسكن الرب وسط بني إسرائيل, حيث لا أحد يستطيع الدخول إلا رئيس ا</w:t>
      </w:r>
      <w:r w:rsidR="006533DF">
        <w:rPr>
          <w:rFonts w:hint="cs"/>
          <w:sz w:val="28"/>
          <w:szCs w:val="28"/>
          <w:rtl/>
          <w:lang w:bidi="ar-EG"/>
        </w:rPr>
        <w:t>لكهنة مرة واحدة في السنة ومعه دم</w:t>
      </w:r>
      <w:r w:rsidR="00E708D0">
        <w:rPr>
          <w:rFonts w:hint="cs"/>
          <w:sz w:val="28"/>
          <w:szCs w:val="28"/>
          <w:rtl/>
          <w:lang w:bidi="ar-EG"/>
        </w:rPr>
        <w:t xml:space="preserve"> ذبيحة نيابة عن نفسه وعن الش</w:t>
      </w:r>
      <w:r w:rsidR="00D02A11">
        <w:rPr>
          <w:rFonts w:hint="cs"/>
          <w:sz w:val="28"/>
          <w:szCs w:val="28"/>
          <w:rtl/>
          <w:lang w:bidi="ar-EG"/>
        </w:rPr>
        <w:t>عب.</w:t>
      </w:r>
    </w:p>
    <w:p w:rsidR="00EB22B4" w:rsidRDefault="00D02A11" w:rsidP="004C03C6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وقد كان التابوت</w:t>
      </w:r>
      <w:r w:rsidR="00B4528A">
        <w:rPr>
          <w:rFonts w:hint="cs"/>
          <w:sz w:val="28"/>
          <w:szCs w:val="28"/>
          <w:rtl/>
          <w:lang w:bidi="ar-EG"/>
        </w:rPr>
        <w:t xml:space="preserve"> حسب أمر الرب</w:t>
      </w:r>
      <w:r>
        <w:rPr>
          <w:rFonts w:hint="cs"/>
          <w:sz w:val="28"/>
          <w:szCs w:val="28"/>
          <w:rtl/>
          <w:lang w:bidi="ar-EG"/>
        </w:rPr>
        <w:t xml:space="preserve"> مصنوعاُ من خشب</w:t>
      </w:r>
      <w:r w:rsidR="00B4528A">
        <w:rPr>
          <w:rFonts w:hint="cs"/>
          <w:sz w:val="28"/>
          <w:szCs w:val="28"/>
          <w:rtl/>
          <w:lang w:bidi="ar-EG"/>
        </w:rPr>
        <w:t xml:space="preserve"> </w:t>
      </w:r>
      <w:r w:rsidR="004C03C6">
        <w:rPr>
          <w:rFonts w:hint="cs"/>
          <w:sz w:val="28"/>
          <w:szCs w:val="28"/>
          <w:rtl/>
          <w:lang w:bidi="ar-EG"/>
        </w:rPr>
        <w:t>السنط بأبعلد 2.5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4C03C6">
        <w:rPr>
          <w:rFonts w:hint="cs"/>
          <w:sz w:val="28"/>
          <w:szCs w:val="28"/>
          <w:rtl/>
          <w:lang w:bidi="ar-EG"/>
        </w:rPr>
        <w:t>ذراعاً طولاً × 1.5 ذراعاً عرضاً × 1.5 ذراعاً عمقاً</w:t>
      </w:r>
      <w:r w:rsidR="005064E3">
        <w:rPr>
          <w:rFonts w:hint="cs"/>
          <w:sz w:val="28"/>
          <w:szCs w:val="28"/>
          <w:rtl/>
          <w:lang w:bidi="ar-EG"/>
        </w:rPr>
        <w:t xml:space="preserve"> (والذراع يساوي 18 بوصة).  وقد كان مغشي بالذهب الخالص من الداخل والخارج.</w:t>
      </w:r>
    </w:p>
    <w:p w:rsidR="00E34596" w:rsidRDefault="00EB22B4" w:rsidP="004C03C6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ويجيط بأعلي جدران التابوت ال</w:t>
      </w:r>
      <w:r w:rsidR="008225D6">
        <w:rPr>
          <w:rFonts w:hint="cs"/>
          <w:sz w:val="28"/>
          <w:szCs w:val="28"/>
          <w:rtl/>
          <w:lang w:bidi="ar-EG"/>
        </w:rPr>
        <w:t>آربعة حاشية من الذهب الخالص لتمن</w:t>
      </w:r>
      <w:r>
        <w:rPr>
          <w:rFonts w:hint="cs"/>
          <w:sz w:val="28"/>
          <w:szCs w:val="28"/>
          <w:rtl/>
          <w:lang w:bidi="ar-EG"/>
        </w:rPr>
        <w:t>ع الغطاء من الإنزلاق عند نقله.  وهذا ال</w:t>
      </w:r>
      <w:r w:rsidR="00B0553F">
        <w:rPr>
          <w:rFonts w:hint="cs"/>
          <w:sz w:val="28"/>
          <w:szCs w:val="28"/>
          <w:rtl/>
          <w:lang w:bidi="ar-EG"/>
        </w:rPr>
        <w:t>غطاء كان يُدعي</w:t>
      </w:r>
      <w:r w:rsidR="00B07C04">
        <w:rPr>
          <w:rFonts w:hint="cs"/>
          <w:sz w:val="28"/>
          <w:szCs w:val="28"/>
          <w:rtl/>
          <w:lang w:bidi="ar-EG"/>
        </w:rPr>
        <w:t xml:space="preserve"> كرسي الرحمة وكان حجمه مثل حجم التابوت نفسه</w:t>
      </w:r>
      <w:r w:rsidR="00E34596">
        <w:rPr>
          <w:rFonts w:hint="cs"/>
          <w:sz w:val="28"/>
          <w:szCs w:val="28"/>
          <w:rtl/>
          <w:lang w:bidi="ar-EG"/>
        </w:rPr>
        <w:t xml:space="preserve"> وكان أيضاً مصنوعاً من خشب السنط ومغشّي بالذهب الخالص من كل جانب.</w:t>
      </w:r>
    </w:p>
    <w:p w:rsidR="00FA1EE8" w:rsidRDefault="00E34596" w:rsidP="004C03C6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أمّا نقل التابوت فقد كان بواسطة قضيبين مغشّيين</w:t>
      </w:r>
      <w:r w:rsidR="002403A5">
        <w:rPr>
          <w:rFonts w:hint="cs"/>
          <w:sz w:val="28"/>
          <w:szCs w:val="28"/>
          <w:rtl/>
          <w:lang w:bidi="ar-EG"/>
        </w:rPr>
        <w:t xml:space="preserve"> بالذهب يجري كل منهما داخل حلقتين من الذهب علي جانبي التابوت ولا يُفصلا منه أبداّ</w:t>
      </w:r>
      <w:r w:rsidR="00FA1EE8">
        <w:rPr>
          <w:rFonts w:hint="cs"/>
          <w:sz w:val="28"/>
          <w:szCs w:val="28"/>
          <w:rtl/>
          <w:lang w:bidi="ar-EG"/>
        </w:rPr>
        <w:t xml:space="preserve"> إلاّ إذا لزم الأمر ل</w:t>
      </w:r>
      <w:r w:rsidR="002403A5">
        <w:rPr>
          <w:rFonts w:hint="cs"/>
          <w:sz w:val="28"/>
          <w:szCs w:val="28"/>
          <w:rtl/>
          <w:lang w:bidi="ar-EG"/>
        </w:rPr>
        <w:t>وج</w:t>
      </w:r>
      <w:r w:rsidR="00FA1EE8">
        <w:rPr>
          <w:rFonts w:hint="cs"/>
          <w:sz w:val="28"/>
          <w:szCs w:val="28"/>
          <w:rtl/>
          <w:lang w:bidi="ar-EG"/>
        </w:rPr>
        <w:t>وب</w:t>
      </w:r>
      <w:r w:rsidR="002403A5">
        <w:rPr>
          <w:rFonts w:hint="cs"/>
          <w:sz w:val="28"/>
          <w:szCs w:val="28"/>
          <w:rtl/>
          <w:lang w:bidi="ar-EG"/>
        </w:rPr>
        <w:t xml:space="preserve"> تغطية التابوت</w:t>
      </w:r>
      <w:r w:rsidR="00FA1EE8">
        <w:rPr>
          <w:rFonts w:hint="cs"/>
          <w:sz w:val="28"/>
          <w:szCs w:val="28"/>
          <w:rtl/>
          <w:lang w:bidi="ar-EG"/>
        </w:rPr>
        <w:t xml:space="preserve"> عند نقله (عدد 4:6).</w:t>
      </w:r>
    </w:p>
    <w:p w:rsidR="00DE02A4" w:rsidRDefault="00FA1EE8" w:rsidP="004C03C6">
      <w:pPr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وكان مثبّتاُ فوق طرفي الغطاء (كرسي الرحمة) إثنين من الكاروبيم واحد من كل جانب في هيئة ملاكين من الذهب المضروب واقفين يواجه أحدهما الآ</w:t>
      </w:r>
      <w:r w:rsidR="00DC70F2">
        <w:rPr>
          <w:rFonts w:hint="cs"/>
          <w:sz w:val="28"/>
          <w:szCs w:val="28"/>
          <w:rtl/>
          <w:lang w:bidi="ar-EG"/>
        </w:rPr>
        <w:t>خر وفي نفس الوقت ينظران إلي أسفل علي كرسي الرحمة ولهما جناحان مفروشان يُظللان الكرسي (خروج 25:20 &amp; تثنية 32:11</w:t>
      </w:r>
      <w:r w:rsidR="003D4E73">
        <w:rPr>
          <w:rFonts w:hint="cs"/>
          <w:sz w:val="28"/>
          <w:szCs w:val="28"/>
          <w:rtl/>
          <w:lang w:bidi="ar-EG"/>
        </w:rPr>
        <w:t>).</w:t>
      </w:r>
    </w:p>
    <w:p w:rsidR="00246D0C" w:rsidRDefault="00DE02A4" w:rsidP="004C03C6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أمّا المبخرة الذهبية ألتي يستعملها رئيس الكهنة</w:t>
      </w:r>
      <w:r w:rsidR="00246D0C">
        <w:rPr>
          <w:rFonts w:hint="cs"/>
          <w:sz w:val="28"/>
          <w:szCs w:val="28"/>
          <w:rtl/>
          <w:lang w:bidi="ar-EG"/>
        </w:rPr>
        <w:t xml:space="preserve"> كلّ عام</w:t>
      </w:r>
      <w:r>
        <w:rPr>
          <w:rFonts w:hint="cs"/>
          <w:sz w:val="28"/>
          <w:szCs w:val="28"/>
          <w:rtl/>
          <w:lang w:bidi="ar-EG"/>
        </w:rPr>
        <w:t xml:space="preserve"> عند دخوله قدس الأقداس فهي تُحفظ فوق كرسي الرحمة إلي وقت إستعمالها في العام الذي يليه.</w:t>
      </w:r>
    </w:p>
    <w:p w:rsidR="00F77268" w:rsidRDefault="00246D0C" w:rsidP="004C03C6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وبين الكاروبين كان يعمُّ السحاب (شكاينا) عندما يحلُ </w:t>
      </w:r>
      <w:r w:rsidR="007C457E">
        <w:rPr>
          <w:rFonts w:hint="cs"/>
          <w:sz w:val="28"/>
          <w:szCs w:val="28"/>
          <w:rtl/>
          <w:lang w:bidi="ar-EG"/>
        </w:rPr>
        <w:t>الربُّ الإله فوق كرسي الرحمة (لا</w:t>
      </w:r>
      <w:r>
        <w:rPr>
          <w:rFonts w:hint="cs"/>
          <w:sz w:val="28"/>
          <w:szCs w:val="28"/>
          <w:rtl/>
          <w:lang w:bidi="ar-EG"/>
        </w:rPr>
        <w:t xml:space="preserve">ويين 16:2).  ولم يكن هذا السحاب </w:t>
      </w:r>
      <w:r w:rsidR="00F77268">
        <w:rPr>
          <w:rFonts w:hint="cs"/>
          <w:sz w:val="28"/>
          <w:szCs w:val="28"/>
          <w:rtl/>
          <w:lang w:bidi="ar-EG"/>
        </w:rPr>
        <w:t>بسبب إحتراق البخور (خروج 16:13) بل كان تعبيراً عن ظهور المجد ا لإلهي.</w:t>
      </w:r>
    </w:p>
    <w:p w:rsidR="00F77268" w:rsidRDefault="00F77268" w:rsidP="004C03C6">
      <w:pPr>
        <w:jc w:val="right"/>
        <w:rPr>
          <w:b/>
          <w:bCs/>
          <w:sz w:val="36"/>
          <w:szCs w:val="36"/>
          <w:u w:val="single"/>
          <w:rtl/>
          <w:lang w:bidi="ar-EG"/>
        </w:rPr>
      </w:pPr>
      <w:r>
        <w:rPr>
          <w:rFonts w:hint="cs"/>
          <w:b/>
          <w:bCs/>
          <w:sz w:val="36"/>
          <w:szCs w:val="36"/>
          <w:u w:val="single"/>
          <w:rtl/>
          <w:lang w:bidi="ar-EG"/>
        </w:rPr>
        <w:t>محتويات التابوت:</w:t>
      </w:r>
    </w:p>
    <w:p w:rsidR="00F77268" w:rsidRDefault="00F77268" w:rsidP="00F77268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كان التابوت يحتوي علي الآتي:</w:t>
      </w:r>
    </w:p>
    <w:p w:rsidR="005A587E" w:rsidRDefault="0033052A" w:rsidP="00F77268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*</w:t>
      </w:r>
      <w:r w:rsidR="005A587E">
        <w:rPr>
          <w:rFonts w:hint="cs"/>
          <w:sz w:val="28"/>
          <w:szCs w:val="28"/>
          <w:rtl/>
          <w:lang w:bidi="ar-EG"/>
        </w:rPr>
        <w:t>لوحا الشريعة التي تحوي الوصايا العشر.</w:t>
      </w:r>
    </w:p>
    <w:p w:rsidR="005A587E" w:rsidRDefault="0033052A" w:rsidP="0033052A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*</w:t>
      </w:r>
      <w:r w:rsidR="005A587E">
        <w:rPr>
          <w:rFonts w:hint="cs"/>
          <w:sz w:val="28"/>
          <w:szCs w:val="28"/>
          <w:rtl/>
          <w:lang w:bidi="ar-EG"/>
        </w:rPr>
        <w:t>إناء ذهبي يحوي بعض المَنّ</w:t>
      </w:r>
      <w:r>
        <w:rPr>
          <w:rFonts w:hint="cs"/>
          <w:sz w:val="28"/>
          <w:szCs w:val="28"/>
          <w:rtl/>
          <w:lang w:bidi="ar-EG"/>
        </w:rPr>
        <w:t xml:space="preserve"> (خروج 16:33)</w:t>
      </w:r>
      <w:r w:rsidR="005A587E">
        <w:rPr>
          <w:rFonts w:hint="cs"/>
          <w:sz w:val="28"/>
          <w:szCs w:val="28"/>
          <w:rtl/>
          <w:lang w:bidi="ar-EG"/>
        </w:rPr>
        <w:t>.</w:t>
      </w:r>
    </w:p>
    <w:p w:rsidR="005A587E" w:rsidRDefault="0033052A" w:rsidP="00F77268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*</w:t>
      </w:r>
      <w:r w:rsidR="005A587E">
        <w:rPr>
          <w:rFonts w:hint="cs"/>
          <w:sz w:val="28"/>
          <w:szCs w:val="28"/>
          <w:rtl/>
          <w:lang w:bidi="ar-EG"/>
        </w:rPr>
        <w:t>عصا هارون التي أفرخت</w:t>
      </w:r>
      <w:r>
        <w:rPr>
          <w:rFonts w:hint="cs"/>
          <w:sz w:val="28"/>
          <w:szCs w:val="28"/>
          <w:rtl/>
          <w:lang w:bidi="ar-EG"/>
        </w:rPr>
        <w:t xml:space="preserve"> (عدد 17:10 وعبرانيين 9:4).</w:t>
      </w:r>
    </w:p>
    <w:p w:rsidR="00B92327" w:rsidRDefault="00B92327" w:rsidP="00B92327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36"/>
          <w:szCs w:val="36"/>
          <w:u w:val="single"/>
          <w:rtl/>
          <w:lang w:bidi="ar-EG"/>
        </w:rPr>
        <w:t>أين التابوت الآن؟</w:t>
      </w:r>
      <w:r>
        <w:rPr>
          <w:rFonts w:hint="cs"/>
          <w:sz w:val="28"/>
          <w:szCs w:val="28"/>
          <w:rtl/>
          <w:lang w:bidi="ar-EG"/>
        </w:rPr>
        <w:t xml:space="preserve">           </w:t>
      </w:r>
    </w:p>
    <w:p w:rsidR="00934A38" w:rsidRPr="00B92327" w:rsidRDefault="0033052A" w:rsidP="00B92327">
      <w:pPr>
        <w:jc w:val="right"/>
        <w:rPr>
          <w:b/>
          <w:bCs/>
          <w:sz w:val="36"/>
          <w:szCs w:val="36"/>
          <w:u w:val="single"/>
          <w:lang w:bidi="ar-EG"/>
        </w:rPr>
      </w:pPr>
      <w:r>
        <w:rPr>
          <w:rFonts w:hint="cs"/>
          <w:sz w:val="28"/>
          <w:szCs w:val="28"/>
          <w:rtl/>
          <w:lang w:bidi="ar-EG"/>
        </w:rPr>
        <w:t>لأ أحد يعلم.</w:t>
      </w:r>
      <w:r w:rsidR="00B92327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                         </w:t>
      </w:r>
      <w:r>
        <w:rPr>
          <w:rFonts w:hint="cs"/>
          <w:sz w:val="28"/>
          <w:szCs w:val="28"/>
          <w:rtl/>
          <w:lang w:bidi="ar-EG"/>
        </w:rPr>
        <w:t>كان الكهنة يحملون التابوت أمام جيوشهم عندما يخ</w:t>
      </w:r>
      <w:r w:rsidR="00B92327">
        <w:rPr>
          <w:rFonts w:hint="cs"/>
          <w:sz w:val="28"/>
          <w:szCs w:val="28"/>
          <w:rtl/>
          <w:lang w:bidi="ar-EG"/>
        </w:rPr>
        <w:t xml:space="preserve">رجون إلي الحرب كرمز لوجود الرب </w:t>
      </w:r>
      <w:r w:rsidR="001B1F6F">
        <w:rPr>
          <w:rFonts w:hint="cs"/>
          <w:sz w:val="28"/>
          <w:szCs w:val="28"/>
          <w:rtl/>
          <w:lang w:bidi="ar-EG"/>
        </w:rPr>
        <w:t xml:space="preserve"> معهم (عدد10:33 وتثنية 1:33 ومزمور 132:8).</w:t>
      </w:r>
    </w:p>
    <w:p w:rsidR="00876B24" w:rsidRDefault="00934A38" w:rsidP="00F77268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وهكذا كان بنو </w:t>
      </w:r>
      <w:r w:rsidR="008610A7">
        <w:rPr>
          <w:rFonts w:hint="cs"/>
          <w:sz w:val="28"/>
          <w:szCs w:val="28"/>
          <w:rtl/>
          <w:lang w:bidi="ar-EG"/>
        </w:rPr>
        <w:t>إسرائيل يحملون التابوت معهم</w:t>
      </w:r>
      <w:r w:rsidR="0033052A">
        <w:rPr>
          <w:rFonts w:hint="cs"/>
          <w:sz w:val="28"/>
          <w:szCs w:val="28"/>
          <w:rtl/>
          <w:lang w:bidi="ar-EG"/>
        </w:rPr>
        <w:t xml:space="preserve"> </w:t>
      </w:r>
      <w:r w:rsidR="008610A7">
        <w:rPr>
          <w:rFonts w:hint="cs"/>
          <w:sz w:val="28"/>
          <w:szCs w:val="28"/>
          <w:rtl/>
          <w:lang w:bidi="ar-EG"/>
        </w:rPr>
        <w:t xml:space="preserve">أينما ذهبوا أو حيثما إستقرّوا، إلأّ أنّ </w:t>
      </w:r>
      <w:r w:rsidR="00D86AA6">
        <w:rPr>
          <w:rFonts w:hint="cs"/>
          <w:sz w:val="28"/>
          <w:szCs w:val="28"/>
          <w:rtl/>
          <w:lang w:bidi="ar-EG"/>
        </w:rPr>
        <w:t>النابوت ظلّ في شيلون إلي وقت عالي الكاهن عندما حُمل أمام الجيش علي أمل أن يكون سبب النصرة لهم علي الفيلسطيين ، لكنّ الفلسطينيين هزموهم وأسروا التابوت</w:t>
      </w:r>
      <w:r w:rsidR="003E00FF">
        <w:rPr>
          <w:rFonts w:hint="cs"/>
          <w:sz w:val="28"/>
          <w:szCs w:val="28"/>
          <w:rtl/>
          <w:lang w:bidi="ar-EG"/>
        </w:rPr>
        <w:t xml:space="preserve"> (صموئيل الأول 4:3 إلي 4:11) ،لكنّهم أعادوه بكل سرورٍ بعد سبعة أشهر إذ أنهم تكبّدوا خسائر فادحة إعتقدوا أنها بسبب إحتفاظهم للتابوت في وسطهم (صموئيل الآول 5:7).</w:t>
      </w:r>
      <w:r w:rsidR="00C36F33">
        <w:rPr>
          <w:rFonts w:hint="cs"/>
          <w:sz w:val="28"/>
          <w:szCs w:val="28"/>
          <w:rtl/>
          <w:lang w:bidi="ar-EG"/>
        </w:rPr>
        <w:t xml:space="preserve"> ومنذ ذلك الحين حُفظ التابوت في بيت أبيناداب في قرية يعاريم (صموئيل الآول 7:2) إلي وقت داود الملك حينما إستقرّ الرأي علي نقله إلي أورشليم ، لكٍنّه تأخّر ثلاثة أشهر </w:t>
      </w:r>
      <w:r w:rsidR="008F0C0E">
        <w:rPr>
          <w:rFonts w:hint="cs"/>
          <w:sz w:val="28"/>
          <w:szCs w:val="28"/>
          <w:rtl/>
          <w:lang w:bidi="ar-EG"/>
        </w:rPr>
        <w:t>بسبب موت</w:t>
      </w:r>
      <w:r w:rsidR="0083628F">
        <w:rPr>
          <w:rFonts w:hint="cs"/>
          <w:sz w:val="28"/>
          <w:szCs w:val="28"/>
          <w:rtl/>
          <w:lang w:bidi="ar-EG"/>
        </w:rPr>
        <w:t xml:space="preserve"> عُزّه إذ لمس التابوت بإهمالٍ. ثُمّ إستقرّ الت</w:t>
      </w:r>
      <w:r w:rsidR="0064404D">
        <w:rPr>
          <w:rFonts w:hint="cs"/>
          <w:sz w:val="28"/>
          <w:szCs w:val="28"/>
          <w:rtl/>
          <w:lang w:bidi="ar-EG"/>
        </w:rPr>
        <w:t>ابوت في بيت عوبيد آدوم إلي أن أُ</w:t>
      </w:r>
      <w:r w:rsidR="0083628F">
        <w:rPr>
          <w:rFonts w:hint="cs"/>
          <w:sz w:val="28"/>
          <w:szCs w:val="28"/>
          <w:rtl/>
          <w:lang w:bidi="ar-EG"/>
        </w:rPr>
        <w:t>خذ إلي جبل صهيون</w:t>
      </w:r>
      <w:r w:rsidR="008F0C0E">
        <w:rPr>
          <w:rFonts w:hint="cs"/>
          <w:sz w:val="28"/>
          <w:szCs w:val="28"/>
          <w:rtl/>
          <w:lang w:bidi="ar-EG"/>
        </w:rPr>
        <w:t xml:space="preserve"> </w:t>
      </w:r>
      <w:r w:rsidR="0039117D">
        <w:rPr>
          <w:rFonts w:hint="cs"/>
          <w:sz w:val="28"/>
          <w:szCs w:val="28"/>
          <w:rtl/>
          <w:lang w:bidi="ar-EG"/>
        </w:rPr>
        <w:t xml:space="preserve">في إحتفالٍ عظيم (صموئيل الثاني 6:1 إلي 6:19).                                                                                                           وعندما إكتمل بناء هيكل سليمان وُضِعَ التابوت في هيكل الرب (ملوك الأول 8:6 إلي 8:9).     </w:t>
      </w:r>
      <w:r w:rsidR="0029319E">
        <w:rPr>
          <w:rFonts w:hint="cs"/>
          <w:sz w:val="28"/>
          <w:szCs w:val="28"/>
          <w:rtl/>
          <w:lang w:bidi="ar-EG"/>
        </w:rPr>
        <w:t xml:space="preserve">           </w:t>
      </w:r>
      <w:r w:rsidR="0039117D">
        <w:rPr>
          <w:rFonts w:hint="cs"/>
          <w:sz w:val="28"/>
          <w:szCs w:val="28"/>
          <w:rtl/>
          <w:lang w:bidi="ar-EG"/>
        </w:rPr>
        <w:t xml:space="preserve"> </w:t>
      </w:r>
      <w:r w:rsidR="0029319E">
        <w:rPr>
          <w:rFonts w:hint="cs"/>
          <w:sz w:val="28"/>
          <w:szCs w:val="28"/>
          <w:rtl/>
          <w:lang w:bidi="ar-EG"/>
        </w:rPr>
        <w:t>ثُمَّ أُ شير إلي اللاويين بنقله إلي قدس الأقداس (أخبار الأيام الثاني 35:3) ، وبقي هناك إلي أن دُمِّر الهيكل بواسطة البابليون ، ومنذ ذلك الحين لا أحد</w:t>
      </w:r>
      <w:r w:rsidR="00207303">
        <w:rPr>
          <w:rFonts w:hint="cs"/>
          <w:sz w:val="28"/>
          <w:szCs w:val="28"/>
          <w:rtl/>
          <w:lang w:bidi="ar-EG"/>
        </w:rPr>
        <w:t xml:space="preserve"> يعلم</w:t>
      </w:r>
      <w:r w:rsidR="0029319E">
        <w:rPr>
          <w:rFonts w:hint="cs"/>
          <w:sz w:val="28"/>
          <w:szCs w:val="28"/>
          <w:rtl/>
          <w:lang w:bidi="ar-EG"/>
        </w:rPr>
        <w:t xml:space="preserve"> إن كان قد دُمِّر أم فُقِد.</w:t>
      </w:r>
      <w:r w:rsidR="00207303">
        <w:rPr>
          <w:rFonts w:hint="cs"/>
          <w:sz w:val="28"/>
          <w:szCs w:val="28"/>
          <w:rtl/>
          <w:lang w:bidi="ar-EG"/>
        </w:rPr>
        <w:t xml:space="preserve">  إلاّ أن هناك إشاعة سائدة بين اليهود أنّ الملك يربعام أخفاه في مكانٍ سِري غير معروفٍ لأحد في محاولته لتدمير عبادة الإله الحقيقي حيث قد نهي أيضا</w:t>
      </w:r>
      <w:r w:rsidR="0064404D">
        <w:rPr>
          <w:rFonts w:hint="cs"/>
          <w:sz w:val="28"/>
          <w:szCs w:val="28"/>
          <w:rtl/>
          <w:lang w:bidi="ar-EG"/>
        </w:rPr>
        <w:t>ً فريضة</w:t>
      </w:r>
      <w:r w:rsidR="00876B24">
        <w:rPr>
          <w:rFonts w:hint="cs"/>
          <w:sz w:val="28"/>
          <w:szCs w:val="28"/>
          <w:rtl/>
          <w:lang w:bidi="ar-EG"/>
        </w:rPr>
        <w:t xml:space="preserve"> الحج السنوي إلي الهيكل في أورشليم كما أقام تمثالين من الذهب لعجلٍ للناس ليعبدوه</w:t>
      </w:r>
      <w:r w:rsidR="00246711">
        <w:rPr>
          <w:rFonts w:hint="cs"/>
          <w:sz w:val="28"/>
          <w:szCs w:val="28"/>
          <w:rtl/>
          <w:lang w:bidi="ar-EG"/>
        </w:rPr>
        <w:t>م</w:t>
      </w:r>
      <w:r w:rsidR="00876B24">
        <w:rPr>
          <w:rFonts w:hint="cs"/>
          <w:sz w:val="28"/>
          <w:szCs w:val="28"/>
          <w:rtl/>
          <w:lang w:bidi="ar-EG"/>
        </w:rPr>
        <w:t>.</w:t>
      </w:r>
    </w:p>
    <w:p w:rsidR="005E73FB" w:rsidRDefault="00876B24" w:rsidP="00905211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ثُمّ في القرن</w:t>
      </w:r>
      <w:r w:rsidR="005E1501">
        <w:rPr>
          <w:rFonts w:hint="cs"/>
          <w:sz w:val="28"/>
          <w:szCs w:val="28"/>
          <w:rtl/>
          <w:lang w:bidi="ar-EG"/>
        </w:rPr>
        <w:t xml:space="preserve"> العشرين وبالتحديد في سنة 1930 ح</w:t>
      </w:r>
      <w:r>
        <w:rPr>
          <w:rFonts w:hint="cs"/>
          <w:sz w:val="28"/>
          <w:szCs w:val="28"/>
          <w:rtl/>
          <w:lang w:bidi="ar-EG"/>
        </w:rPr>
        <w:t>صل هيلاسيلاسي</w:t>
      </w:r>
      <w:r w:rsidR="005E1501">
        <w:rPr>
          <w:rFonts w:hint="cs"/>
          <w:sz w:val="28"/>
          <w:szCs w:val="28"/>
          <w:rtl/>
          <w:lang w:bidi="ar-EG"/>
        </w:rPr>
        <w:t xml:space="preserve"> علي القوة التي أهّلته ليُعلن نفسه إمبراطوراً لأثيوبيا</w:t>
      </w:r>
      <w:r w:rsidR="00905211">
        <w:rPr>
          <w:rFonts w:hint="cs"/>
          <w:sz w:val="28"/>
          <w:szCs w:val="28"/>
          <w:rtl/>
          <w:lang w:bidi="ar-EG"/>
        </w:rPr>
        <w:t xml:space="preserve"> </w:t>
      </w:r>
      <w:r w:rsidR="005E1501">
        <w:rPr>
          <w:rFonts w:hint="cs"/>
          <w:sz w:val="28"/>
          <w:szCs w:val="28"/>
          <w:rtl/>
          <w:lang w:bidi="ar-EG"/>
        </w:rPr>
        <w:t xml:space="preserve">ثُمّ زعم أنّه الحفيد الحادي عشر للملك سليمان وخلع علي نفسه إسم حامي نجم داود الذي </w:t>
      </w:r>
      <w:r w:rsidR="005E1501">
        <w:rPr>
          <w:rFonts w:hint="cs"/>
          <w:sz w:val="28"/>
          <w:szCs w:val="28"/>
          <w:rtl/>
          <w:lang w:bidi="ar-EG"/>
        </w:rPr>
        <w:lastRenderedPageBreak/>
        <w:t>إتّخذه أيضاً شعاراً</w:t>
      </w:r>
      <w:r w:rsidR="0039117D">
        <w:rPr>
          <w:rFonts w:hint="cs"/>
          <w:sz w:val="28"/>
          <w:szCs w:val="28"/>
          <w:rtl/>
          <w:lang w:bidi="ar-EG"/>
        </w:rPr>
        <w:t xml:space="preserve"> </w:t>
      </w:r>
      <w:r w:rsidR="00471271">
        <w:rPr>
          <w:rFonts w:hint="cs"/>
          <w:sz w:val="28"/>
          <w:szCs w:val="28"/>
          <w:rtl/>
          <w:lang w:bidi="ar-EG"/>
        </w:rPr>
        <w:t xml:space="preserve">لأُمّته. </w:t>
      </w:r>
      <w:r w:rsidR="005E1501">
        <w:rPr>
          <w:rFonts w:hint="cs"/>
          <w:sz w:val="28"/>
          <w:szCs w:val="28"/>
          <w:rtl/>
          <w:lang w:bidi="ar-EG"/>
        </w:rPr>
        <w:t xml:space="preserve">  ثُمّ أعلن أنّ تابوت العهد في حوزته</w:t>
      </w:r>
      <w:r w:rsidR="00DA6ECC">
        <w:rPr>
          <w:rFonts w:hint="cs"/>
          <w:sz w:val="28"/>
          <w:szCs w:val="28"/>
          <w:rtl/>
          <w:lang w:bidi="ar-EG"/>
        </w:rPr>
        <w:t xml:space="preserve"> وأنه أخفاه في مكان لا يعرفه أحد إلّا هو.   ثُمّ مضت الأيام وخانه إبنه وإغتاله إلّا أن إبنه لم يرث الحكم ثُمّ أُغتيل</w:t>
      </w:r>
      <w:r w:rsidR="00471271">
        <w:rPr>
          <w:rFonts w:hint="cs"/>
          <w:sz w:val="28"/>
          <w:szCs w:val="28"/>
          <w:rtl/>
          <w:lang w:bidi="ar-EG"/>
        </w:rPr>
        <w:t xml:space="preserve"> إبنه</w:t>
      </w:r>
      <w:r w:rsidR="00DA6ECC">
        <w:rPr>
          <w:rFonts w:hint="cs"/>
          <w:sz w:val="28"/>
          <w:szCs w:val="28"/>
          <w:rtl/>
          <w:lang w:bidi="ar-EG"/>
        </w:rPr>
        <w:t xml:space="preserve"> وعمّت الفوضي</w:t>
      </w:r>
      <w:r w:rsidR="005E73FB">
        <w:rPr>
          <w:rFonts w:hint="cs"/>
          <w:sz w:val="28"/>
          <w:szCs w:val="28"/>
          <w:rtl/>
          <w:lang w:bidi="ar-EG"/>
        </w:rPr>
        <w:t xml:space="preserve"> في الإمبراطورية </w:t>
      </w:r>
      <w:r w:rsidR="00C36F33">
        <w:rPr>
          <w:rFonts w:hint="cs"/>
          <w:sz w:val="28"/>
          <w:szCs w:val="28"/>
          <w:rtl/>
          <w:lang w:bidi="ar-EG"/>
        </w:rPr>
        <w:t xml:space="preserve"> </w:t>
      </w:r>
      <w:r w:rsidR="005E73FB">
        <w:rPr>
          <w:rFonts w:hint="cs"/>
          <w:sz w:val="28"/>
          <w:szCs w:val="28"/>
          <w:rtl/>
          <w:lang w:bidi="ar-EG"/>
        </w:rPr>
        <w:t>وسقطت</w:t>
      </w:r>
      <w:r w:rsidR="00DA6ECC">
        <w:rPr>
          <w:rFonts w:hint="cs"/>
          <w:sz w:val="28"/>
          <w:szCs w:val="28"/>
          <w:rtl/>
          <w:lang w:bidi="ar-EG"/>
        </w:rPr>
        <w:t xml:space="preserve"> في يد </w:t>
      </w:r>
      <w:r w:rsidR="005E73FB">
        <w:rPr>
          <w:rFonts w:hint="cs"/>
          <w:sz w:val="28"/>
          <w:szCs w:val="28"/>
          <w:rtl/>
          <w:lang w:bidi="ar-EG"/>
        </w:rPr>
        <w:t xml:space="preserve">المسلمين والشيوعيين المتطرفين.                             </w:t>
      </w:r>
      <w:r w:rsidR="00471271">
        <w:rPr>
          <w:rFonts w:hint="cs"/>
          <w:sz w:val="28"/>
          <w:szCs w:val="28"/>
          <w:rtl/>
          <w:lang w:bidi="ar-EG"/>
        </w:rPr>
        <w:t xml:space="preserve">                   </w:t>
      </w:r>
      <w:r w:rsidR="005E73FB">
        <w:rPr>
          <w:rFonts w:hint="cs"/>
          <w:sz w:val="28"/>
          <w:szCs w:val="28"/>
          <w:rtl/>
          <w:lang w:bidi="ar-EG"/>
        </w:rPr>
        <w:t>وهكذا ذهب هيلاسيلاسي وذهب معه سر مكان التابوت إلي الأبد.</w:t>
      </w:r>
    </w:p>
    <w:p w:rsidR="00227738" w:rsidRDefault="005E73FB" w:rsidP="009F2CCF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إلّا أن السوْال عنوان هذا المقال</w:t>
      </w:r>
      <w:r w:rsidR="00227738">
        <w:rPr>
          <w:rFonts w:hint="cs"/>
          <w:sz w:val="28"/>
          <w:szCs w:val="28"/>
          <w:rtl/>
          <w:lang w:bidi="ar-EG"/>
        </w:rPr>
        <w:t xml:space="preserve"> "هل سَيُعثر عليه؟" لم نُج</w:t>
      </w:r>
      <w:r w:rsidR="00471271">
        <w:rPr>
          <w:rFonts w:hint="cs"/>
          <w:sz w:val="28"/>
          <w:szCs w:val="28"/>
          <w:rtl/>
          <w:lang w:bidi="ar-EG"/>
        </w:rPr>
        <w:t>ِ</w:t>
      </w:r>
      <w:r w:rsidR="00227738">
        <w:rPr>
          <w:rFonts w:hint="cs"/>
          <w:sz w:val="28"/>
          <w:szCs w:val="28"/>
          <w:rtl/>
          <w:lang w:bidi="ar-EG"/>
        </w:rPr>
        <w:t xml:space="preserve">ب عليه بعد ، وأمّا الجواب فهو:                    </w:t>
      </w:r>
      <w:r w:rsidR="00227738">
        <w:rPr>
          <w:rFonts w:hint="cs"/>
          <w:b/>
          <w:bCs/>
          <w:sz w:val="36"/>
          <w:szCs w:val="36"/>
          <w:u w:val="single"/>
          <w:rtl/>
          <w:lang w:bidi="ar-EG"/>
        </w:rPr>
        <w:t>لليهود:</w:t>
      </w:r>
      <w:r w:rsidR="00227738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                          إنهم ما زالوا يحاولون وسيداومون المحاولة للعثورعليه إذ أنه</w:t>
      </w:r>
      <w:r w:rsidR="009F2CCF">
        <w:rPr>
          <w:rFonts w:hint="cs"/>
          <w:sz w:val="28"/>
          <w:szCs w:val="28"/>
          <w:rtl/>
          <w:lang w:bidi="ar-EG"/>
        </w:rPr>
        <w:t xml:space="preserve"> بمثابة دِثار الطمأنينه لهم لأنه بدونه يشعرون أنّ</w:t>
      </w:r>
      <w:r w:rsidR="001F317B">
        <w:rPr>
          <w:rFonts w:hint="cs"/>
          <w:sz w:val="28"/>
          <w:szCs w:val="28"/>
          <w:rtl/>
          <w:lang w:bidi="ar-EG"/>
        </w:rPr>
        <w:t xml:space="preserve"> الرب الإ</w:t>
      </w:r>
      <w:r w:rsidR="009F2CCF">
        <w:rPr>
          <w:rFonts w:hint="cs"/>
          <w:sz w:val="28"/>
          <w:szCs w:val="28"/>
          <w:rtl/>
          <w:lang w:bidi="ar-EG"/>
        </w:rPr>
        <w:t>له ليس بينهم وخصوصاً في هذه الأيام حيث</w:t>
      </w:r>
      <w:r w:rsidR="001F317B">
        <w:rPr>
          <w:rFonts w:hint="cs"/>
          <w:sz w:val="28"/>
          <w:szCs w:val="28"/>
          <w:rtl/>
          <w:lang w:bidi="ar-EG"/>
        </w:rPr>
        <w:t xml:space="preserve"> يزداد الفكر العالمي</w:t>
      </w:r>
      <w:r w:rsidR="009F2CCF">
        <w:rPr>
          <w:rFonts w:hint="cs"/>
          <w:sz w:val="28"/>
          <w:szCs w:val="28"/>
          <w:rtl/>
          <w:lang w:bidi="ar-EG"/>
        </w:rPr>
        <w:t xml:space="preserve"> يوماً بعد يوم </w:t>
      </w:r>
      <w:r w:rsidR="001F317B">
        <w:rPr>
          <w:rFonts w:hint="cs"/>
          <w:sz w:val="28"/>
          <w:szCs w:val="28"/>
          <w:rtl/>
          <w:lang w:bidi="ar-EG"/>
        </w:rPr>
        <w:t>أنهم ليسوا بعد شعب الله المختار ، وهذا يتمشّي يداً بيد مع تفكيرهم في بناء الهيكل إذ أنّ الواحد لا يكون بدون الآخر.</w:t>
      </w:r>
    </w:p>
    <w:p w:rsidR="001F317B" w:rsidRPr="001F317B" w:rsidRDefault="001F317B" w:rsidP="009F2CCF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36"/>
          <w:szCs w:val="36"/>
          <w:u w:val="single"/>
          <w:rtl/>
          <w:lang w:bidi="ar-EG"/>
        </w:rPr>
        <w:t>للمسيحيين:</w:t>
      </w:r>
      <w:r>
        <w:rPr>
          <w:rFonts w:hint="cs"/>
          <w:sz w:val="28"/>
          <w:szCs w:val="28"/>
          <w:rtl/>
          <w:lang w:bidi="ar-EG"/>
        </w:rPr>
        <w:t xml:space="preserve">    إن مجئ السيد الرب قد غيّر الوضع كُلّية إذ أننا الآن لا ننظر بعد إلي إله</w:t>
      </w:r>
      <w:r w:rsidR="007A1AE4">
        <w:rPr>
          <w:rFonts w:hint="cs"/>
          <w:sz w:val="28"/>
          <w:szCs w:val="28"/>
          <w:rtl/>
          <w:lang w:bidi="ar-EG"/>
        </w:rPr>
        <w:t xml:space="preserve"> يسكن في هياكل مصنوعة باليد (أعمال 7:48 و17:24) لأننا نعلم الآن ونوْمن أننا هيكل الله وروح الله ساكن فينا (كورنثوس الأولي 6:19).  نحن لا نتطلّب تابوت عهد أو هيكل لنري مجد الله الأسني لأنّ كل هذا </w:t>
      </w:r>
      <w:r w:rsidR="00006A9B">
        <w:rPr>
          <w:rFonts w:hint="cs"/>
          <w:sz w:val="28"/>
          <w:szCs w:val="28"/>
          <w:rtl/>
          <w:lang w:bidi="ar-EG"/>
        </w:rPr>
        <w:t xml:space="preserve">مُدركٌ في قلوبنا نُحسُ به ونلمسه في كل نبضة  تنبض بها قلوبنا.                                                   وإلي كلّ مسيحي يعتقد أو يحس أنّ التابوت يجب أن يُعثر عليه ، أقول له إقرأ الكتاب المقدّس. </w:t>
      </w:r>
      <w:r w:rsidR="007A1AE4">
        <w:rPr>
          <w:rFonts w:hint="cs"/>
          <w:sz w:val="28"/>
          <w:szCs w:val="28"/>
          <w:rtl/>
          <w:lang w:bidi="ar-EG"/>
        </w:rPr>
        <w:t xml:space="preserve"> </w:t>
      </w:r>
    </w:p>
    <w:p w:rsidR="00227738" w:rsidRDefault="00227738" w:rsidP="00F77268">
      <w:pPr>
        <w:jc w:val="right"/>
        <w:rPr>
          <w:sz w:val="28"/>
          <w:szCs w:val="28"/>
          <w:rtl/>
          <w:lang w:bidi="ar-EG"/>
        </w:rPr>
      </w:pPr>
    </w:p>
    <w:p w:rsidR="00227738" w:rsidRDefault="00227738" w:rsidP="00F77268">
      <w:pPr>
        <w:jc w:val="right"/>
        <w:rPr>
          <w:sz w:val="28"/>
          <w:szCs w:val="28"/>
          <w:rtl/>
          <w:lang w:bidi="ar-EG"/>
        </w:rPr>
      </w:pPr>
    </w:p>
    <w:p w:rsidR="00227738" w:rsidRDefault="00227738" w:rsidP="00F77268">
      <w:pPr>
        <w:jc w:val="right"/>
        <w:rPr>
          <w:sz w:val="28"/>
          <w:szCs w:val="28"/>
          <w:rtl/>
          <w:lang w:bidi="ar-EG"/>
        </w:rPr>
      </w:pPr>
    </w:p>
    <w:p w:rsidR="0033052A" w:rsidRPr="0033052A" w:rsidRDefault="00D86AA6" w:rsidP="00F77268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sectPr w:rsidR="0033052A" w:rsidRPr="0033052A" w:rsidSect="00CB33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74" w:rsidRDefault="004B1F74" w:rsidP="00B37279">
      <w:pPr>
        <w:spacing w:after="0" w:line="240" w:lineRule="auto"/>
      </w:pPr>
      <w:r>
        <w:separator/>
      </w:r>
    </w:p>
  </w:endnote>
  <w:endnote w:type="continuationSeparator" w:id="0">
    <w:p w:rsidR="004B1F74" w:rsidRDefault="004B1F74" w:rsidP="00B3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094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7279" w:rsidRDefault="00FC2CFA">
        <w:pPr>
          <w:pStyle w:val="Footer"/>
          <w:jc w:val="right"/>
        </w:pPr>
        <w:r>
          <w:fldChar w:fldCharType="begin"/>
        </w:r>
        <w:r w:rsidR="00B37279">
          <w:instrText xml:space="preserve"> PAGE   \* MERGEFORMAT </w:instrText>
        </w:r>
        <w:r>
          <w:fldChar w:fldCharType="separate"/>
        </w:r>
        <w:r w:rsidR="009052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7279" w:rsidRDefault="00B372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74" w:rsidRDefault="004B1F74" w:rsidP="00B37279">
      <w:pPr>
        <w:spacing w:after="0" w:line="240" w:lineRule="auto"/>
      </w:pPr>
      <w:r>
        <w:separator/>
      </w:r>
    </w:p>
  </w:footnote>
  <w:footnote w:type="continuationSeparator" w:id="0">
    <w:p w:rsidR="004B1F74" w:rsidRDefault="004B1F74" w:rsidP="00B3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723C0"/>
    <w:multiLevelType w:val="hybridMultilevel"/>
    <w:tmpl w:val="A2820382"/>
    <w:lvl w:ilvl="0" w:tplc="7E109F2A">
      <w:start w:val="1"/>
      <w:numFmt w:val="decimal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C0D20"/>
    <w:multiLevelType w:val="hybridMultilevel"/>
    <w:tmpl w:val="43627378"/>
    <w:lvl w:ilvl="0" w:tplc="CC2E9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391"/>
    <w:rsid w:val="00006A9B"/>
    <w:rsid w:val="00033460"/>
    <w:rsid w:val="000E712C"/>
    <w:rsid w:val="001B1F6F"/>
    <w:rsid w:val="001C7C88"/>
    <w:rsid w:val="001D658D"/>
    <w:rsid w:val="001F317B"/>
    <w:rsid w:val="00207303"/>
    <w:rsid w:val="00227738"/>
    <w:rsid w:val="002403A5"/>
    <w:rsid w:val="00246711"/>
    <w:rsid w:val="00246D0C"/>
    <w:rsid w:val="0029319E"/>
    <w:rsid w:val="0033052A"/>
    <w:rsid w:val="0039117D"/>
    <w:rsid w:val="003D4E73"/>
    <w:rsid w:val="003E00FF"/>
    <w:rsid w:val="00410391"/>
    <w:rsid w:val="00471271"/>
    <w:rsid w:val="004B1F74"/>
    <w:rsid w:val="004C03C6"/>
    <w:rsid w:val="005064E3"/>
    <w:rsid w:val="005A587E"/>
    <w:rsid w:val="005E1501"/>
    <w:rsid w:val="005E73FB"/>
    <w:rsid w:val="0064404D"/>
    <w:rsid w:val="006533DF"/>
    <w:rsid w:val="0075330E"/>
    <w:rsid w:val="00771F61"/>
    <w:rsid w:val="007A1AE4"/>
    <w:rsid w:val="007C457E"/>
    <w:rsid w:val="008225D6"/>
    <w:rsid w:val="0083628F"/>
    <w:rsid w:val="00846DCA"/>
    <w:rsid w:val="008610A7"/>
    <w:rsid w:val="00876B24"/>
    <w:rsid w:val="008F0C0E"/>
    <w:rsid w:val="00905211"/>
    <w:rsid w:val="00934A38"/>
    <w:rsid w:val="009B222F"/>
    <w:rsid w:val="009F2CCF"/>
    <w:rsid w:val="00A4219D"/>
    <w:rsid w:val="00AB034F"/>
    <w:rsid w:val="00B0553F"/>
    <w:rsid w:val="00B07C04"/>
    <w:rsid w:val="00B10234"/>
    <w:rsid w:val="00B37279"/>
    <w:rsid w:val="00B4528A"/>
    <w:rsid w:val="00B8262F"/>
    <w:rsid w:val="00B92327"/>
    <w:rsid w:val="00C34614"/>
    <w:rsid w:val="00C36F33"/>
    <w:rsid w:val="00CB3396"/>
    <w:rsid w:val="00D02A11"/>
    <w:rsid w:val="00D86AA6"/>
    <w:rsid w:val="00DA6ECC"/>
    <w:rsid w:val="00DC70F2"/>
    <w:rsid w:val="00DE02A4"/>
    <w:rsid w:val="00E34596"/>
    <w:rsid w:val="00E708D0"/>
    <w:rsid w:val="00E83E3F"/>
    <w:rsid w:val="00E8505D"/>
    <w:rsid w:val="00EB22B4"/>
    <w:rsid w:val="00F77268"/>
    <w:rsid w:val="00FA1EE8"/>
    <w:rsid w:val="00FC2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2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79"/>
  </w:style>
  <w:style w:type="paragraph" w:styleId="Footer">
    <w:name w:val="footer"/>
    <w:basedOn w:val="Normal"/>
    <w:link w:val="FooterChar"/>
    <w:uiPriority w:val="99"/>
    <w:unhideWhenUsed/>
    <w:rsid w:val="00B372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2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79"/>
  </w:style>
  <w:style w:type="paragraph" w:styleId="Footer">
    <w:name w:val="footer"/>
    <w:basedOn w:val="Normal"/>
    <w:link w:val="FooterChar"/>
    <w:uiPriority w:val="99"/>
    <w:unhideWhenUsed/>
    <w:rsid w:val="00B372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2012-04-26T15:46:00Z</cp:lastPrinted>
  <dcterms:created xsi:type="dcterms:W3CDTF">2012-04-24T15:59:00Z</dcterms:created>
  <dcterms:modified xsi:type="dcterms:W3CDTF">2012-06-27T03:55:00Z</dcterms:modified>
</cp:coreProperties>
</file>